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Wixford Parish Council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Expenditure items exceeding £100 2018/19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Date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Amount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Details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Non recoverable VAT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£     p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17.04.18           384  82                      Insurance premium 2018/19           N/A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(BHIB)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08.05.18           500  00                      Grant for maintenance                    N/A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of Churchyard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08.05.18           278  99                      Computer (covered by grant           46.50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from Transparency Fund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08.05.18           313  14                      Clerk’s salary March and April        N/A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2018 (net of tax)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08.05.18          3439  75                     Warwickshire CC - final payment    N/A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Gateway sign.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10.07.18            327  86                     Clerk’s salary May and June            N/A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2018 (net of tax)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11.09.18            393  25                     Clerk’s salary July and Aug.              N/A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2018 (net of tax)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13.11.18            311  34                      Clerk’s salary Sep. and Oct.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2018 (net of tax)                                N/A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08.01.19           295  54                      Clerk’s salary Nov. and Dec.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2018 (net of tax)                                N/A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05.02.19          1560  00                     Westcotec: installation of data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Retrieval in speed visor                    N/A*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19.02.19          3094  80                     Arrhythmia Alliance: defibrillator        N/A**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(Grant from Throckmorton Trust)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12.03.19           287  28                      Clerk’s salary Jan. and Feb. 2019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(net of tax)                                          N/A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12.03.19           384  82                      Insurance Premium 2019/20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(BHIB)                                                 N/A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12.03.19           195  00                      Wixford Village Hall hire                      N/A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includes £260 recoverable VAT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 Includes £515.80 recoverable VAT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